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A6B4B" w14:textId="77777777" w:rsidR="00FA2EC2" w:rsidRDefault="001F71A1">
      <w:pPr>
        <w:spacing w:after="20"/>
      </w:pPr>
      <w:r>
        <w:rPr>
          <w:b/>
          <w:color w:val="1F4E79"/>
          <w:sz w:val="16"/>
        </w:rPr>
        <w:t>COLORADO COUNTY TREASURERS' AND PUBLIC TRUSTEES' ASSOCIATION</w:t>
      </w:r>
    </w:p>
    <w:p w14:paraId="62132942" w14:textId="77777777" w:rsidR="00FA2EC2" w:rsidRDefault="001F71A1">
      <w:pPr>
        <w:spacing w:after="40"/>
      </w:pPr>
      <w:r>
        <w:rPr>
          <w:b/>
          <w:color w:val="1F4E79"/>
          <w:sz w:val="44"/>
        </w:rPr>
        <w:t>Owner Redemption Before Public Auction</w:t>
      </w:r>
    </w:p>
    <w:p w14:paraId="1422C37D" w14:textId="77777777" w:rsidR="00FA2EC2" w:rsidRDefault="001F71A1">
      <w:pPr>
        <w:spacing w:after="160"/>
      </w:pPr>
      <w:r>
        <w:rPr>
          <w:color w:val="404040"/>
          <w:sz w:val="21"/>
        </w:rPr>
        <w:t>Best-Practice Policy and Procedure Under C.R.S. §§ 39-11.5-106 and 39-11.5-111 (Article 11.5 as Repealed and Reenacted by SB 26-144, Effective June 1, 2026)</w:t>
      </w:r>
    </w:p>
    <w:tbl>
      <w:tblPr>
        <w:tblW w:w="9360" w:type="dxa"/>
        <w:tblLayout w:type="fixed"/>
        <w:tblLook w:val="04A0" w:firstRow="1" w:lastRow="0" w:firstColumn="1" w:lastColumn="0" w:noHBand="0" w:noVBand="1"/>
      </w:tblPr>
      <w:tblGrid>
        <w:gridCol w:w="2350"/>
        <w:gridCol w:w="7010"/>
      </w:tblGrid>
      <w:tr w:rsidR="00FA2EC2" w14:paraId="66494A16"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14B24537" w14:textId="77777777" w:rsidR="00FA2EC2" w:rsidRDefault="001F71A1">
            <w:pPr>
              <w:spacing w:after="0"/>
            </w:pPr>
            <w:r>
              <w:rPr>
                <w:b/>
                <w:sz w:val="16"/>
              </w:rPr>
              <w:t>Document Status</w:t>
            </w:r>
          </w:p>
        </w:tc>
        <w:tc>
          <w:tcPr>
            <w:tcW w:w="7009" w:type="dxa"/>
            <w:tcBorders>
              <w:top w:val="single" w:sz="4" w:space="0" w:color="A6A6A6"/>
              <w:left w:val="single" w:sz="4" w:space="0" w:color="A6A6A6"/>
              <w:bottom w:val="single" w:sz="4" w:space="0" w:color="A6A6A6"/>
              <w:right w:val="single" w:sz="4" w:space="0" w:color="A6A6A6"/>
            </w:tcBorders>
            <w:vAlign w:val="center"/>
          </w:tcPr>
          <w:p w14:paraId="1616084E" w14:textId="77777777" w:rsidR="00FA2EC2" w:rsidRDefault="001F71A1">
            <w:pPr>
              <w:spacing w:after="0"/>
            </w:pPr>
            <w:r>
              <w:rPr>
                <w:sz w:val="16"/>
              </w:rPr>
              <w:t>ADOPTED - Effective September 8, 2026</w:t>
            </w:r>
          </w:p>
        </w:tc>
      </w:tr>
      <w:tr w:rsidR="00FA2EC2" w14:paraId="096B0201"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24AC1F36" w14:textId="77777777" w:rsidR="00FA2EC2" w:rsidRDefault="001F71A1">
            <w:pPr>
              <w:spacing w:after="0"/>
            </w:pPr>
            <w:r>
              <w:rPr>
                <w:b/>
                <w:sz w:val="16"/>
              </w:rPr>
              <w:t>Policy Number</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7A361FB3" w14:textId="77777777" w:rsidR="00FA2EC2" w:rsidRDefault="001F71A1">
            <w:pPr>
              <w:spacing w:after="0"/>
            </w:pPr>
            <w:r>
              <w:rPr>
                <w:sz w:val="16"/>
              </w:rPr>
              <w:t>26-03</w:t>
            </w:r>
          </w:p>
        </w:tc>
      </w:tr>
      <w:tr w:rsidR="00FA2EC2" w14:paraId="390D95E6"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69388A19" w14:textId="77777777" w:rsidR="00FA2EC2" w:rsidRDefault="001F71A1">
            <w:pPr>
              <w:spacing w:after="0"/>
            </w:pPr>
            <w:r>
              <w:rPr>
                <w:b/>
                <w:sz w:val="16"/>
              </w:rPr>
              <w:t>Policy Owner</w:t>
            </w:r>
          </w:p>
        </w:tc>
        <w:tc>
          <w:tcPr>
            <w:tcW w:w="7009" w:type="dxa"/>
            <w:tcBorders>
              <w:top w:val="single" w:sz="4" w:space="0" w:color="A6A6A6"/>
              <w:left w:val="single" w:sz="4" w:space="0" w:color="A6A6A6"/>
              <w:bottom w:val="single" w:sz="4" w:space="0" w:color="A6A6A6"/>
              <w:right w:val="single" w:sz="4" w:space="0" w:color="A6A6A6"/>
            </w:tcBorders>
            <w:vAlign w:val="center"/>
          </w:tcPr>
          <w:p w14:paraId="3916C197" w14:textId="77777777" w:rsidR="00FA2EC2" w:rsidRDefault="001F71A1">
            <w:pPr>
              <w:spacing w:after="0"/>
            </w:pPr>
            <w:r>
              <w:rPr>
                <w:sz w:val="16"/>
              </w:rPr>
              <w:t>CCTPTA</w:t>
            </w:r>
          </w:p>
        </w:tc>
      </w:tr>
      <w:tr w:rsidR="00FA2EC2" w14:paraId="2282BD36"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593C5C70" w14:textId="77777777" w:rsidR="00FA2EC2" w:rsidRDefault="001F71A1">
            <w:pPr>
              <w:spacing w:after="0"/>
            </w:pPr>
            <w:r>
              <w:rPr>
                <w:b/>
                <w:sz w:val="16"/>
              </w:rPr>
              <w:t>Approved By</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7BB32441" w14:textId="77777777" w:rsidR="00FA2EC2" w:rsidRDefault="001F71A1">
            <w:pPr>
              <w:spacing w:after="0"/>
            </w:pPr>
            <w:r>
              <w:rPr>
                <w:sz w:val="16"/>
              </w:rPr>
              <w:t>CCTPTA Board/Executive Committee</w:t>
            </w:r>
          </w:p>
        </w:tc>
      </w:tr>
      <w:tr w:rsidR="00FA2EC2" w14:paraId="66EF74EB" w14:textId="77777777">
        <w:trPr>
          <w:cantSplit/>
        </w:trPr>
        <w:tc>
          <w:tcPr>
            <w:tcW w:w="2350" w:type="dxa"/>
            <w:tcBorders>
              <w:top w:val="single" w:sz="4" w:space="0" w:color="A6A6A6"/>
              <w:left w:val="single" w:sz="4" w:space="0" w:color="A6A6A6"/>
              <w:bottom w:val="single" w:sz="4" w:space="0" w:color="A6A6A6"/>
              <w:right w:val="single" w:sz="4" w:space="0" w:color="A6A6A6"/>
            </w:tcBorders>
            <w:vAlign w:val="center"/>
          </w:tcPr>
          <w:p w14:paraId="0CA1942A" w14:textId="77777777" w:rsidR="00FA2EC2" w:rsidRDefault="001F71A1">
            <w:pPr>
              <w:spacing w:after="0"/>
            </w:pPr>
            <w:r>
              <w:rPr>
                <w:b/>
                <w:sz w:val="16"/>
              </w:rPr>
              <w:t>Effective Date</w:t>
            </w:r>
          </w:p>
        </w:tc>
        <w:tc>
          <w:tcPr>
            <w:tcW w:w="7009" w:type="dxa"/>
            <w:tcBorders>
              <w:top w:val="single" w:sz="4" w:space="0" w:color="A6A6A6"/>
              <w:left w:val="single" w:sz="4" w:space="0" w:color="A6A6A6"/>
              <w:bottom w:val="single" w:sz="4" w:space="0" w:color="A6A6A6"/>
              <w:right w:val="single" w:sz="4" w:space="0" w:color="A6A6A6"/>
            </w:tcBorders>
            <w:vAlign w:val="center"/>
          </w:tcPr>
          <w:p w14:paraId="2DBDD70A" w14:textId="77777777" w:rsidR="00FA2EC2" w:rsidRDefault="001F71A1">
            <w:pPr>
              <w:spacing w:after="0"/>
            </w:pPr>
            <w:r>
              <w:rPr>
                <w:sz w:val="16"/>
              </w:rPr>
              <w:t>September 8, 2026</w:t>
            </w:r>
          </w:p>
        </w:tc>
      </w:tr>
      <w:tr w:rsidR="00FA2EC2" w14:paraId="2B5DEB2E" w14:textId="77777777">
        <w:trPr>
          <w:cantSplit/>
        </w:trPr>
        <w:tc>
          <w:tcPr>
            <w:tcW w:w="235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0B6556DB" w14:textId="77777777" w:rsidR="00FA2EC2" w:rsidRDefault="001F71A1">
            <w:pPr>
              <w:spacing w:after="0"/>
            </w:pPr>
            <w:r>
              <w:rPr>
                <w:b/>
                <w:sz w:val="16"/>
              </w:rPr>
              <w:t>Review Cycle</w:t>
            </w:r>
          </w:p>
        </w:tc>
        <w:tc>
          <w:tcPr>
            <w:tcW w:w="700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49C1D039" w14:textId="77777777" w:rsidR="00FA2EC2" w:rsidRDefault="001F71A1">
            <w:pPr>
              <w:spacing w:after="0"/>
            </w:pPr>
            <w:r>
              <w:rPr>
                <w:sz w:val="16"/>
              </w:rPr>
              <w:t>Annual, and upon a material statutory or case-law change</w:t>
            </w:r>
          </w:p>
        </w:tc>
      </w:tr>
    </w:tbl>
    <w:p w14:paraId="4D1420B2" w14:textId="77777777" w:rsidR="00FA2EC2" w:rsidRDefault="001F71A1">
      <w:pPr>
        <w:spacing w:before="160" w:after="40"/>
      </w:pPr>
      <w:r>
        <w:rPr>
          <w:b/>
          <w:color w:val="1F4E79"/>
          <w:sz w:val="16"/>
        </w:rPr>
        <w:t>ADOPTION STATUS</w:t>
      </w:r>
    </w:p>
    <w:p w14:paraId="18373677" w14:textId="77777777" w:rsidR="00FA2EC2" w:rsidRDefault="001F71A1">
      <w:pPr>
        <w:spacing w:after="120"/>
      </w:pPr>
      <w:r>
        <w:rPr>
          <w:b/>
          <w:color w:val="1F4E79"/>
          <w:sz w:val="16"/>
        </w:rPr>
        <w:t>CCTPTA formally adopted this statewide best practice effective September 8, 2026. It does not replace the county treasurer's statutory discretion or legal advice.</w:t>
      </w:r>
    </w:p>
    <w:p w14:paraId="193138FE" w14:textId="77777777" w:rsidR="00FA2EC2" w:rsidRDefault="001F71A1">
      <w:pPr>
        <w:pStyle w:val="Heading1"/>
      </w:pPr>
      <w:r>
        <w:t>1. Purpose and Scope</w:t>
      </w:r>
    </w:p>
    <w:p w14:paraId="10641FE0" w14:textId="77777777" w:rsidR="00FA2EC2" w:rsidRDefault="001F71A1">
      <w:r>
        <w:t>This policy guides a county treasurer who, before a public auction commences, receives credible information that a property owner is prepared to redeem but has not timely filed the Intent to Redeem required by C.R.S. § 39-11.5-106(1)(a). Article 11.5 of Title 39, as repealed and reenacted by SB 26-144, governs any treasurer’s deed issued on or after June 1, 2026, regardless of when the tax lien sale or the application occurred, so this policy applies to pending files as well as new ones.</w:t>
      </w:r>
    </w:p>
    <w:p w14:paraId="6C277F4E" w14:textId="77777777" w:rsidR="00FA2EC2" w:rsidRDefault="001F71A1">
      <w:pPr>
        <w:pStyle w:val="Heading1"/>
      </w:pPr>
      <w:r>
        <w:t>2. Best-Practice Policy</w:t>
      </w:r>
    </w:p>
    <w:p w14:paraId="424BD69C" w14:textId="77777777" w:rsidR="00FA2EC2" w:rsidRDefault="001F71A1">
      <w:r>
        <w:t>C.R.S. § 39-11.5-111(1)(a) allows a treasurer to continue a public auction at any time before it commences, for any reason the treasurer deems good cause or upon the lawful holder’s written request. CCTPTA recommends that credible evidence of an owner actively prepared to redeem ordinarily be treated as good cause, and that the auction be continued long enough for the statutory redemption steps to be completed.</w:t>
      </w:r>
    </w:p>
    <w:p w14:paraId="72750180" w14:textId="77777777" w:rsidR="00FA2EC2" w:rsidRDefault="001F71A1">
      <w:r>
        <w:t>A continuance is discretionary. It waives no requirement and completes no redemption. The owner must still file the Intent to Redeem no later than seven calendar days before the continued date, which becomes the currently scheduled public auction date, and pay in full, in the form the treasurer specifies, before the redemption statement expires.</w:t>
      </w:r>
    </w:p>
    <w:tbl>
      <w:tblPr>
        <w:tblW w:w="9360" w:type="dxa"/>
        <w:tblLayout w:type="fixed"/>
        <w:tblLook w:val="04A0" w:firstRow="1" w:lastRow="0" w:firstColumn="1" w:lastColumn="0" w:noHBand="0" w:noVBand="1"/>
      </w:tblPr>
      <w:tblGrid>
        <w:gridCol w:w="2199"/>
        <w:gridCol w:w="7161"/>
      </w:tblGrid>
      <w:tr w:rsidR="00FA2EC2" w14:paraId="7860C63B" w14:textId="77777777">
        <w:trPr>
          <w:cantSplit/>
          <w:tblHeader/>
        </w:trPr>
        <w:tc>
          <w:tcPr>
            <w:tcW w:w="2199"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0DC77BBF" w14:textId="77777777" w:rsidR="00FA2EC2" w:rsidRDefault="001F71A1">
            <w:pPr>
              <w:spacing w:after="0"/>
            </w:pPr>
            <w:r>
              <w:rPr>
                <w:b/>
                <w:color w:val="FFFFFF"/>
                <w:sz w:val="16"/>
              </w:rPr>
              <w:t>Situation</w:t>
            </w:r>
          </w:p>
        </w:tc>
        <w:tc>
          <w:tcPr>
            <w:tcW w:w="7160"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38E305C2" w14:textId="77777777" w:rsidR="00FA2EC2" w:rsidRDefault="001F71A1">
            <w:pPr>
              <w:spacing w:after="0"/>
            </w:pPr>
            <w:r>
              <w:rPr>
                <w:b/>
                <w:color w:val="FFFFFF"/>
                <w:sz w:val="16"/>
              </w:rPr>
              <w:t>Recommended Response</w:t>
            </w:r>
          </w:p>
        </w:tc>
      </w:tr>
      <w:tr w:rsidR="00FA2EC2" w14:paraId="22375E2F"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3A1AEB5" w14:textId="77777777" w:rsidR="00FA2EC2" w:rsidRDefault="001F71A1">
            <w:pPr>
              <w:spacing w:after="0"/>
            </w:pPr>
            <w:r>
              <w:rPr>
                <w:b/>
                <w:sz w:val="16"/>
              </w:rPr>
              <w:t>Timely Intent to Redeem filed</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5CB83789" w14:textId="77777777" w:rsidR="00FA2EC2" w:rsidRDefault="001F71A1">
            <w:pPr>
              <w:spacing w:after="0"/>
            </w:pPr>
            <w:r>
              <w:rPr>
                <w:sz w:val="16"/>
              </w:rPr>
              <w:t>Process under § 39-11.5-106: issue the redemption statement within three business days, accept full payment before it expires, then notify the lawful holder and record the withdrawal and certificate of redemption within ten business days.</w:t>
            </w:r>
          </w:p>
        </w:tc>
      </w:tr>
      <w:tr w:rsidR="00FA2EC2" w14:paraId="2B727EE8"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124FBA1" w14:textId="77777777" w:rsidR="00FA2EC2" w:rsidRDefault="001F71A1">
            <w:pPr>
              <w:spacing w:after="0"/>
            </w:pPr>
            <w:r>
              <w:rPr>
                <w:b/>
                <w:sz w:val="16"/>
              </w:rPr>
              <w:t>Credible pre-auction notice of a prepared owner redemption</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2D61F10" w14:textId="77777777" w:rsidR="00FA2EC2" w:rsidRDefault="001F71A1">
            <w:pPr>
              <w:spacing w:after="0"/>
            </w:pPr>
            <w:r>
              <w:rPr>
                <w:sz w:val="16"/>
              </w:rPr>
              <w:t>Before the auction begins, evaluate good cause under § 39-11.5-111(1)(a) and ordinarily continue the auction for a period that permits statutory processing.</w:t>
            </w:r>
          </w:p>
        </w:tc>
      </w:tr>
      <w:tr w:rsidR="00FA2EC2" w14:paraId="043996BA"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627B58CE" w14:textId="77777777" w:rsidR="00FA2EC2" w:rsidRDefault="001F71A1">
            <w:pPr>
              <w:spacing w:after="0"/>
            </w:pPr>
            <w:r>
              <w:rPr>
                <w:b/>
                <w:sz w:val="16"/>
              </w:rPr>
              <w:t>Unverified interest, no owner authority, or no concrete ability to redeem</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10ABE77" w14:textId="77777777" w:rsidR="00FA2EC2" w:rsidRDefault="001F71A1">
            <w:pPr>
              <w:spacing w:after="0"/>
            </w:pPr>
            <w:r>
              <w:rPr>
                <w:sz w:val="16"/>
              </w:rPr>
              <w:t>Request prompt verification; do not promise a continuance or redemption.</w:t>
            </w:r>
          </w:p>
        </w:tc>
      </w:tr>
      <w:tr w:rsidR="00FA2EC2" w14:paraId="5EDEF2D4"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30581997" w14:textId="77777777" w:rsidR="00FA2EC2" w:rsidRDefault="001F71A1">
            <w:pPr>
              <w:spacing w:after="0"/>
            </w:pPr>
            <w:r>
              <w:rPr>
                <w:b/>
                <w:sz w:val="16"/>
              </w:rPr>
              <w:t>Auction already commenced</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3EDA7C4A" w14:textId="77777777" w:rsidR="00FA2EC2" w:rsidRDefault="001F71A1">
            <w:pPr>
              <w:spacing w:after="0"/>
            </w:pPr>
            <w:r>
              <w:rPr>
                <w:sz w:val="16"/>
              </w:rPr>
              <w:t>Do not use this policy to reopen the auction. The owner’s redemption right under § 39-11.5-106 ends at commencement; post-auction remedies, such as an order setting the auction aside under § 39-11.5-111(2)(c), are outside this policy. Consult county counsel.</w:t>
            </w:r>
          </w:p>
        </w:tc>
      </w:tr>
    </w:tbl>
    <w:p w14:paraId="2A16A7F4" w14:textId="77777777" w:rsidR="00FA2EC2" w:rsidRDefault="00FA2EC2"/>
    <w:p w14:paraId="4235F58F" w14:textId="77777777" w:rsidR="00FA2EC2" w:rsidRDefault="001F71A1">
      <w:pPr>
        <w:pStyle w:val="Heading1"/>
      </w:pPr>
      <w:r>
        <w:t>3. Authority and Key Deadlines</w:t>
      </w:r>
    </w:p>
    <w:p w14:paraId="2B1A5873" w14:textId="77777777" w:rsidR="00FA2EC2" w:rsidRDefault="001F71A1">
      <w:pPr>
        <w:pStyle w:val="ListBullet"/>
        <w:spacing w:after="40"/>
        <w:ind w:hanging="259"/>
      </w:pPr>
      <w:r>
        <w:t>§ 39-11.5-111(1)(a) — Continuance. Before commencement, the treasurer may continue the auction for good cause or on the lawful holder’s written request, by oral announcement, posting, or notice at the designated time and place stating the new time and place. An auction neither held nor expressly continued is deemed continued week to week. No continuance may extend beyond twelve months from the originally designated date in the notice of public auction, except under § 39-11.5-111(2) (injunction or bankruptcy</w:t>
      </w:r>
      <w:r>
        <w:t>).</w:t>
      </w:r>
    </w:p>
    <w:p w14:paraId="2CC00407" w14:textId="7356C679" w:rsidR="00FA2EC2" w:rsidRDefault="001F71A1">
      <w:pPr>
        <w:pStyle w:val="ListBullet"/>
        <w:spacing w:after="40"/>
        <w:ind w:hanging="259"/>
      </w:pPr>
      <w:r>
        <w:t xml:space="preserve">§ 39-11.5-106(1) — Who may redeem, and when. The owner is entitled to redeem only if the Intent to Redeem is filed no later than seven calendar days before the currently scheduled auction date. Subsection (1)(b) expressly provides that where the owner dies or becomes incapacitated on or after the date and time the application for treasurer’s deed </w:t>
      </w:r>
      <w:r>
        <w:lastRenderedPageBreak/>
        <w:t>was recorded, the owner’s heirs, personal representative, legal guardian, or conservator may file and redeem on satisfactory proof to the treasurer, whether or not that person’s interest appears in the records.</w:t>
      </w:r>
    </w:p>
    <w:p w14:paraId="5D67489F" w14:textId="77777777" w:rsidR="00FA2EC2" w:rsidRDefault="001F71A1">
      <w:pPr>
        <w:pStyle w:val="ListBullet"/>
        <w:spacing w:after="40"/>
        <w:ind w:hanging="259"/>
      </w:pPr>
      <w:commentRangeStart w:id="0"/>
      <w:r>
        <w:t>Death or incapacity occurring before the recording. It is CCTPTA’s position that heirs and fiduciaries may redeem regardless of when the owner died or became incapacitated. Subsection (1)(b) addresses the situation in which the record owner is still the decedent because death or incapacity arose during the treasurer’s deed process; it grants an additional path to redemption and does not cut off deaths occurring earlier. Where the owner died before the application was recorded, title devolved to the devisees</w:t>
      </w:r>
      <w:r>
        <w:t xml:space="preserve"> or heirs at the moment of death under C.R.S. § 15-12-101, subject to administration, so those persons are themselves a "property owner" — a person that currently holds title — under § 39-11.5-101(19) and may redeem under § 39-11.5-106(1)(a) in their own right. A personal representative may act for the estate, and a conservator or guardian may act for a protected person, under Title 15. A treasurer should therefore not refuse an Intent to Redeem solely because the death or the adjudication of incapacity pre</w:t>
      </w:r>
      <w:r>
        <w:t>dates the recording of the application. The operative question is proof of status and authority, not the date of death.</w:t>
      </w:r>
      <w:commentRangeEnd w:id="0"/>
      <w:r>
        <w:rPr>
          <w:rStyle w:val="CommentReference"/>
          <w:sz w:val="18"/>
          <w:szCs w:val="22"/>
        </w:rPr>
        <w:commentReference w:id="0"/>
      </w:r>
    </w:p>
    <w:p w14:paraId="3BA2D5BC" w14:textId="77777777" w:rsidR="00FA2EC2" w:rsidRDefault="001F71A1">
      <w:pPr>
        <w:pStyle w:val="ListBullet"/>
        <w:spacing w:after="40"/>
        <w:ind w:hanging="259"/>
      </w:pPr>
      <w:r>
        <w:t>§ 39-11.5-106(2)–(4) — Statement and completion. Within three business days of a timely filing, the treasurer issues an itemized redemption statement in substantially the form of a bid under § 39-11.5-107, including the lawful holder’s and treasurer’s fees and costs (§ 39-11.5-108(3)). The statement is effective for ten business days or until noon the day before the auction, whichever is first. On payment, the treasurer notifies the lawful holder, withdraws the application under § 39-11.5-111(3), records th</w:t>
      </w:r>
      <w:r>
        <w:t>e withdrawal and certificate of redemption within ten business days, and disburses proceeds to those entitled.</w:t>
      </w:r>
    </w:p>
    <w:p w14:paraId="70EE4F75" w14:textId="77777777" w:rsidR="00FA2EC2" w:rsidRDefault="001F71A1">
      <w:pPr>
        <w:pStyle w:val="ListBullet"/>
        <w:spacing w:after="40"/>
        <w:ind w:hanging="259"/>
      </w:pPr>
      <w:r>
        <w:t>§ 39-11.5-106(7)–(8), § 39-11.5-101(2) — Limits. The owner must redeem the entire property; partial redemption is prohibited. After a statement expires, the owner may request updated figures in writing, but no later than seven calendar days before the auction. "Business day" excludes weekends, Colorado legal holidays, and any day the office is closed under county policy or emergency order.</w:t>
      </w:r>
    </w:p>
    <w:p w14:paraId="016B2442" w14:textId="77777777" w:rsidR="00FA2EC2" w:rsidRDefault="001F71A1">
      <w:pPr>
        <w:pStyle w:val="ListBullet"/>
        <w:spacing w:after="40"/>
        <w:ind w:hanging="259"/>
      </w:pPr>
      <w:r>
        <w:t>§ 30-1-102(1.7), § 39-11.5-107(8) — Fees and written policy. Fees are fixed by statute (no more than $25 for processing a notice of intent to redeem; $30 for a certificate of redemption) and adjust for inflation beginning January 1, 2027, with amounts posted on the county website. A treasurer may adopt written auction policies consistent with Article 11.5, which must be available to the public; a county adopting this practice should publish it.</w:t>
      </w:r>
    </w:p>
    <w:p w14:paraId="065AA90F" w14:textId="77777777" w:rsidR="00FA2EC2" w:rsidRDefault="001F71A1">
      <w:r>
        <w:t>If this policy conflicts with Colorado law, a court order, or written legal advice applicable to the county, the controlling authority governs.</w:t>
      </w:r>
    </w:p>
    <w:p w14:paraId="5F1456F3" w14:textId="77777777" w:rsidR="00FA2EC2" w:rsidRDefault="001F71A1">
      <w:pPr>
        <w:pStyle w:val="Heading1"/>
      </w:pPr>
      <w:r>
        <w:t>4. Definitions</w:t>
      </w:r>
    </w:p>
    <w:tbl>
      <w:tblPr>
        <w:tblW w:w="9360" w:type="dxa"/>
        <w:tblLayout w:type="fixed"/>
        <w:tblLook w:val="04A0" w:firstRow="1" w:lastRow="0" w:firstColumn="1" w:lastColumn="0" w:noHBand="0" w:noVBand="1"/>
      </w:tblPr>
      <w:tblGrid>
        <w:gridCol w:w="2199"/>
        <w:gridCol w:w="7161"/>
      </w:tblGrid>
      <w:tr w:rsidR="00FA2EC2" w14:paraId="18100627" w14:textId="77777777">
        <w:trPr>
          <w:cantSplit/>
          <w:tblHeader/>
        </w:trPr>
        <w:tc>
          <w:tcPr>
            <w:tcW w:w="2199"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2A589DF3" w14:textId="77777777" w:rsidR="00FA2EC2" w:rsidRDefault="001F71A1">
            <w:pPr>
              <w:spacing w:after="0"/>
            </w:pPr>
            <w:r>
              <w:rPr>
                <w:b/>
                <w:color w:val="FFFFFF"/>
                <w:sz w:val="16"/>
              </w:rPr>
              <w:t>Term</w:t>
            </w:r>
          </w:p>
        </w:tc>
        <w:tc>
          <w:tcPr>
            <w:tcW w:w="7160" w:type="dxa"/>
            <w:tcBorders>
              <w:top w:val="single" w:sz="4" w:space="0" w:color="A6A6A6"/>
              <w:left w:val="single" w:sz="4" w:space="0" w:color="A6A6A6"/>
              <w:bottom w:val="single" w:sz="4" w:space="0" w:color="A6A6A6"/>
              <w:right w:val="single" w:sz="4" w:space="0" w:color="A6A6A6"/>
            </w:tcBorders>
            <w:shd w:val="clear" w:color="auto" w:fill="1F4E79"/>
            <w:vAlign w:val="center"/>
          </w:tcPr>
          <w:p w14:paraId="24B03C8F" w14:textId="77777777" w:rsidR="00FA2EC2" w:rsidRDefault="001F71A1">
            <w:pPr>
              <w:spacing w:after="0"/>
            </w:pPr>
            <w:r>
              <w:rPr>
                <w:b/>
                <w:color w:val="FFFFFF"/>
                <w:sz w:val="16"/>
              </w:rPr>
              <w:t>Definition</w:t>
            </w:r>
          </w:p>
        </w:tc>
      </w:tr>
      <w:tr w:rsidR="00FA2EC2" w14:paraId="4D3069A4"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39C8D598" w14:textId="77777777" w:rsidR="00FA2EC2" w:rsidRDefault="001F71A1">
            <w:pPr>
              <w:spacing w:after="0"/>
            </w:pPr>
            <w:r>
              <w:rPr>
                <w:b/>
                <w:sz w:val="16"/>
              </w:rPr>
              <w:t>Credible information</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68B6F05F" w14:textId="77777777" w:rsidR="00FA2EC2" w:rsidRDefault="001F71A1">
            <w:pPr>
              <w:spacing w:after="0"/>
            </w:pPr>
            <w:r>
              <w:rPr>
                <w:sz w:val="16"/>
              </w:rPr>
              <w:t>Specific, reliable information received before the auction begins that identifies the property and owner and shows a concrete, near-term ability and intent to complete redemption.</w:t>
            </w:r>
          </w:p>
        </w:tc>
      </w:tr>
      <w:tr w:rsidR="00FA2EC2" w14:paraId="54AA7ADC"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55519F74" w14:textId="77777777" w:rsidR="00FA2EC2" w:rsidRDefault="001F71A1">
            <w:pPr>
              <w:spacing w:after="0"/>
            </w:pPr>
            <w:r>
              <w:rPr>
                <w:b/>
                <w:sz w:val="16"/>
              </w:rPr>
              <w:t>Authorized representative</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375F0E0B" w14:textId="77777777" w:rsidR="00FA2EC2" w:rsidRDefault="001F71A1">
            <w:pPr>
              <w:spacing w:after="0"/>
            </w:pPr>
            <w:r>
              <w:rPr>
                <w:sz w:val="16"/>
              </w:rPr>
              <w:t>A title company, attorney, agent, or fiduciary communicating for the owner. Such communication may support good cause, but only the owner or a person authorized by § 39-11.5-106(1)(b) may file the Intent to Redeem. Article 11.5 does not expressly authorize an agent to file for a living owner; consult county counsel before accepting such a filing.</w:t>
            </w:r>
          </w:p>
        </w:tc>
      </w:tr>
      <w:tr w:rsidR="00FA2EC2" w14:paraId="26A28FC9"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2B3832F9" w14:textId="77777777" w:rsidR="00FA2EC2" w:rsidRDefault="001F71A1">
            <w:pPr>
              <w:spacing w:after="0"/>
            </w:pPr>
            <w:r>
              <w:rPr>
                <w:b/>
                <w:sz w:val="16"/>
              </w:rPr>
              <w:t>Good cause</w:t>
            </w:r>
          </w:p>
        </w:tc>
        <w:tc>
          <w:tcPr>
            <w:tcW w:w="7160" w:type="dxa"/>
            <w:tcBorders>
              <w:top w:val="single" w:sz="4" w:space="0" w:color="A6A6A6"/>
              <w:left w:val="single" w:sz="4" w:space="0" w:color="A6A6A6"/>
              <w:bottom w:val="single" w:sz="4" w:space="0" w:color="A6A6A6"/>
              <w:right w:val="single" w:sz="4" w:space="0" w:color="A6A6A6"/>
            </w:tcBorders>
            <w:shd w:val="clear" w:color="auto" w:fill="E7E6E6"/>
            <w:vAlign w:val="center"/>
          </w:tcPr>
          <w:p w14:paraId="26084743" w14:textId="77777777" w:rsidR="00FA2EC2" w:rsidRDefault="001F71A1">
            <w:pPr>
              <w:spacing w:after="0"/>
            </w:pPr>
            <w:r>
              <w:rPr>
                <w:sz w:val="16"/>
              </w:rPr>
              <w:t>A circumstance the treasurer, in the exercise of statutory discretion, determines reasonably justifies continuing the auction.</w:t>
            </w:r>
          </w:p>
        </w:tc>
      </w:tr>
      <w:tr w:rsidR="00FA2EC2" w14:paraId="5539528A"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572DF92" w14:textId="77777777" w:rsidR="00FA2EC2" w:rsidRDefault="001F71A1">
            <w:pPr>
              <w:spacing w:after="0"/>
            </w:pPr>
            <w:r>
              <w:rPr>
                <w:b/>
                <w:sz w:val="16"/>
              </w:rPr>
              <w:t>Heir or fiduciary</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62F7BDCD" w14:textId="77777777" w:rsidR="00FA2EC2" w:rsidRDefault="001F71A1">
            <w:pPr>
              <w:spacing w:after="0"/>
            </w:pPr>
            <w:r>
              <w:rPr>
                <w:sz w:val="16"/>
              </w:rPr>
              <w:t>An heir, devisee, personal representative, legal guardian, or conservator of a deceased or incapacitated owner. Such a person may file an Intent to Redeem and redeem regardless of when the death or incapacity occurred, on satisfactory proof of status and authority. See Section 3.</w:t>
            </w:r>
          </w:p>
        </w:tc>
      </w:tr>
      <w:tr w:rsidR="00FA2EC2" w14:paraId="57FB0305" w14:textId="77777777">
        <w:trPr>
          <w:cantSplit/>
        </w:trPr>
        <w:tc>
          <w:tcPr>
            <w:tcW w:w="2199"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132055A5" w14:textId="77777777" w:rsidR="00FA2EC2" w:rsidRDefault="001F71A1">
            <w:pPr>
              <w:spacing w:after="0"/>
            </w:pPr>
            <w:r>
              <w:rPr>
                <w:b/>
                <w:sz w:val="16"/>
              </w:rPr>
              <w:t>Reasonable period</w:t>
            </w:r>
          </w:p>
        </w:tc>
        <w:tc>
          <w:tcPr>
            <w:tcW w:w="716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5A8268CA" w14:textId="77777777" w:rsidR="00FA2EC2" w:rsidRDefault="001F71A1">
            <w:pPr>
              <w:spacing w:after="0"/>
            </w:pPr>
            <w:r>
              <w:rPr>
                <w:sz w:val="16"/>
              </w:rPr>
              <w:t>A continuance long enough to permit filing, calculation, verification, notice, and payment without unnecessary delay. Given the seven-day filing deadline, the three-business-day statement deadline, and the statement’s expiration at noon the day before the auction, two to four weeks is usually workable; fewer than fourteen calendar days rarely is.</w:t>
            </w:r>
          </w:p>
        </w:tc>
      </w:tr>
    </w:tbl>
    <w:p w14:paraId="53AFB766" w14:textId="77777777" w:rsidR="00FA2EC2" w:rsidRDefault="00FA2EC2"/>
    <w:p w14:paraId="171BA311" w14:textId="77777777" w:rsidR="00FA2EC2" w:rsidRDefault="001F71A1">
      <w:pPr>
        <w:pStyle w:val="Heading1"/>
      </w:pPr>
      <w:r>
        <w:t>5. Operating Procedure</w:t>
      </w:r>
    </w:p>
    <w:p w14:paraId="1A4B82F1" w14:textId="77777777" w:rsidR="00FA2EC2" w:rsidRDefault="001F71A1">
      <w:pPr>
        <w:pStyle w:val="ListNumber"/>
        <w:spacing w:after="40"/>
        <w:ind w:left="389" w:hanging="288"/>
      </w:pPr>
      <w:r>
        <w:t>Receive and record. Note the date, time, and method of contact; the requester’s identity, contact information, and relationship to the owner; and the property and treasurer’s deed file. Confirm the auction has not commenced.</w:t>
      </w:r>
    </w:p>
    <w:p w14:paraId="5DEB2121" w14:textId="0FB9B23F" w:rsidR="00FA2EC2" w:rsidRDefault="001F71A1">
      <w:pPr>
        <w:pStyle w:val="ListNumber"/>
        <w:spacing w:after="40"/>
        <w:ind w:left="389" w:hanging="288"/>
      </w:pPr>
      <w:r>
        <w:t xml:space="preserve">Verify. Confirm the property, the owner, and the requester’s authority. For a deceased or incapacitated owner, obtain proof of status and authority regardless of when the death or incapacity occurred. Proof ordinarily consists of a death certificate together with letters testamentary or letters of administration, a recorded personal representative’s deed, a probate or heirship record identifying the heirs or devisees, or letters of conservatorship or guardianship, and evidence that funds are available or a </w:t>
      </w:r>
      <w:r>
        <w:t>transaction capable of producing them is pending. A vague inquiry is not sufficient.</w:t>
      </w:r>
    </w:p>
    <w:p w14:paraId="2062D711" w14:textId="77777777" w:rsidR="00FA2EC2" w:rsidRDefault="001F71A1">
      <w:pPr>
        <w:pStyle w:val="ListNumber"/>
        <w:spacing w:after="40"/>
        <w:ind w:left="389" w:hanging="288"/>
      </w:pPr>
      <w:r>
        <w:t>Determine good cause. Apply the factors in Section 6 and record the determination, decision-maker, date, and concise reasons. Treat similar circumstances consistently.</w:t>
      </w:r>
    </w:p>
    <w:p w14:paraId="0AE1661E" w14:textId="77777777" w:rsidR="00FA2EC2" w:rsidRDefault="001F71A1">
      <w:pPr>
        <w:pStyle w:val="ListNumber"/>
        <w:spacing w:after="40"/>
        <w:ind w:left="389" w:hanging="288"/>
      </w:pPr>
      <w:r>
        <w:lastRenderedPageBreak/>
        <w:t>Continue to a specific date. Choose a date that lets the owner file at least seven calendar days ahead and lets the treasurer issue and administer the statement, observing the twelve-month limit. Make the oral announcement or post or provide the notice required by § 39-11.5-111(1)(a), inform the lawful holder so the bid form can be prepared for the new date, and preserve proof of notice. Do not rely on the week-to-week deemed continuance.</w:t>
      </w:r>
    </w:p>
    <w:p w14:paraId="0417568F" w14:textId="26E03732" w:rsidR="00FA2EC2" w:rsidRDefault="00D80EA6">
      <w:pPr>
        <w:pStyle w:val="ListNumber"/>
        <w:spacing w:after="40"/>
        <w:ind w:left="389" w:hanging="288"/>
      </w:pPr>
      <w:r>
        <w:t xml:space="preserve"> Accept and Process the Intent to Redeem from the owner, or from an heir, devisee, personal representative, guardian, or conservator on satisfactory proof of status and authority, whenever the death or incapacity occurred, with the filing fee of no more than $25. Do not backdate a filing or accept one made fewer than seven calendar days before the scheduled date. Issue the itemized statement within three business days and state its expiration.</w:t>
      </w:r>
    </w:p>
    <w:p w14:paraId="0E604E45" w14:textId="7FC52F59" w:rsidR="00FA2EC2" w:rsidRDefault="001F71A1">
      <w:pPr>
        <w:pStyle w:val="ListNumber"/>
        <w:spacing w:after="40"/>
        <w:ind w:left="389" w:hanging="288"/>
      </w:pPr>
      <w:r>
        <w:t>Complete Certificate of Redemption or resume to Public Auction. On timely payment in full, notify the lawful holder, withdraw the application, record the withdrawal and certificate of redemption within ten business days, and disburse proceeds. Otherwise proceed with the continued auction unless another lawful basis for continuance or withdrawal exists.</w:t>
      </w:r>
    </w:p>
    <w:p w14:paraId="1FA767E3" w14:textId="77777777" w:rsidR="00FA2EC2" w:rsidRDefault="001F71A1">
      <w:pPr>
        <w:pStyle w:val="Heading1"/>
      </w:pPr>
      <w:r>
        <w:t>6. Good-Cause Factors</w:t>
      </w:r>
    </w:p>
    <w:p w14:paraId="7449397E" w14:textId="77777777" w:rsidR="00FA2EC2" w:rsidRDefault="001F71A1">
      <w:pPr>
        <w:pStyle w:val="ListBullet"/>
        <w:spacing w:after="40"/>
        <w:ind w:hanging="259"/>
      </w:pPr>
      <w:r>
        <w:t>Whether the request was received before commencement, and whether the owner, property, and the requester’s authority can be verified;</w:t>
      </w:r>
    </w:p>
    <w:p w14:paraId="382F824C" w14:textId="77777777" w:rsidR="00FA2EC2" w:rsidRDefault="001F71A1">
      <w:pPr>
        <w:pStyle w:val="ListBullet"/>
        <w:spacing w:after="40"/>
        <w:ind w:hanging="259"/>
      </w:pPr>
      <w:r>
        <w:t>Whether full payment appears reasonably available within a short, defined period, and whether a title company, lender, closing agent, attorney, or fiduciary confirms an active transaction or available funds;</w:t>
      </w:r>
    </w:p>
    <w:p w14:paraId="11A66A44" w14:textId="77777777" w:rsidR="00FA2EC2" w:rsidRDefault="001F71A1">
      <w:pPr>
        <w:pStyle w:val="ListBullet"/>
        <w:spacing w:after="40"/>
        <w:ind w:hanging="259"/>
      </w:pPr>
      <w:r>
        <w:t>Prior delays, repeated missed commitments, bad faith, or material prejudice from further delay;</w:t>
      </w:r>
    </w:p>
    <w:p w14:paraId="38475F36" w14:textId="77777777" w:rsidR="00FA2EC2" w:rsidRDefault="001F71A1">
      <w:pPr>
        <w:pStyle w:val="ListBullet"/>
        <w:spacing w:after="40"/>
        <w:ind w:hanging="259"/>
      </w:pPr>
      <w:r>
        <w:t>The time needed to satisfy the seven-calendar-day filing deadline, the three-business-day statement deadline, and the treasurer’s other processing duties; and</w:t>
      </w:r>
    </w:p>
    <w:p w14:paraId="251C7069" w14:textId="77777777" w:rsidR="00FA2EC2" w:rsidRDefault="001F71A1">
      <w:pPr>
        <w:pStyle w:val="ListBullet"/>
        <w:spacing w:after="40"/>
        <w:ind w:hanging="259"/>
      </w:pPr>
      <w:r>
        <w:t>Whether the lawful holder has requested or objects to a continuance. A written request by the lawful holder is an independent basis for continuance, but the holder’s consent is not required for a good-cause continuance.</w:t>
      </w:r>
    </w:p>
    <w:p w14:paraId="4F114529" w14:textId="77777777" w:rsidR="00FA2EC2" w:rsidRDefault="001F71A1">
      <w:pPr>
        <w:pStyle w:val="Heading1"/>
      </w:pPr>
      <w:r>
        <w:t>7. Controls and Escalation</w:t>
      </w:r>
    </w:p>
    <w:p w14:paraId="649707A4" w14:textId="77777777" w:rsidR="00FA2EC2" w:rsidRDefault="001F71A1">
      <w:pPr>
        <w:pStyle w:val="ListBullet"/>
        <w:spacing w:after="40"/>
        <w:ind w:hanging="259"/>
      </w:pPr>
      <w:r>
        <w:t>Apply the same verification standards and decision factors regardless of the owner’s identity, property type or value, or whether the contact comes from the owner or a representative.</w:t>
      </w:r>
    </w:p>
    <w:p w14:paraId="110CFEF0" w14:textId="5409B25C" w:rsidR="00FA2EC2" w:rsidRDefault="001F71A1">
      <w:pPr>
        <w:pStyle w:val="ListBullet"/>
        <w:spacing w:after="40"/>
        <w:ind w:hanging="259"/>
      </w:pPr>
      <w:r>
        <w:t>Use a written checklist or case note and obtain supervisory or legal review when facts are disputed, authority is unclear, an estate or incapacity is involved, or the auction is imminent.</w:t>
      </w:r>
    </w:p>
    <w:p w14:paraId="3A9D074B" w14:textId="5A67303A" w:rsidR="00FA2EC2" w:rsidRDefault="001F71A1">
      <w:pPr>
        <w:pStyle w:val="ListBullet"/>
        <w:spacing w:after="40"/>
        <w:ind w:hanging="259"/>
      </w:pPr>
      <w:r>
        <w:t>Do not give legal advice, guarantee closing, or state that ownership is preserved until redemption is legally complete. Do not accept partial funds as a completed redemption; § 39-11.5-106(7)(a) requires redemption of the entire property.</w:t>
      </w:r>
    </w:p>
    <w:p w14:paraId="352D9460" w14:textId="77777777" w:rsidR="00FA2EC2" w:rsidRDefault="001F71A1">
      <w:pPr>
        <w:pStyle w:val="ListBullet"/>
        <w:spacing w:after="40"/>
        <w:ind w:hanging="259"/>
      </w:pPr>
      <w:r>
        <w:t>Retain communications, proof of authority, the good-cause determination, continuation notice, redemption statement, payment record, and final disposition under the county retention schedule.</w:t>
      </w:r>
    </w:p>
    <w:p w14:paraId="30A1EF55" w14:textId="77777777" w:rsidR="00FA2EC2" w:rsidRDefault="001F71A1">
      <w:r>
        <w:t>Consult county counsel before proceeding when the matter involves disputed ownership, bankruptcy or an injunction, incapacity or a deceased owner, conflicting court orders, suspected fraud, insufficient authority, or an auction that may already have commenced. The procedures in § 39-11.5-111(2) control over this general best practice; note that if publication was not complete when a stay arose, the auction may not be continued under § 39-11.5-111(1)(a) at all. Counsel review is particularly appropriate wher</w:t>
      </w:r>
      <w:r>
        <w:t>e the owner died before the application was recorded and the heirs or devisees have not been established by a probate or heirship proceeding, or where competing claimants assert the right to redeem.</w:t>
      </w:r>
    </w:p>
    <w:p w14:paraId="4F675C28" w14:textId="77777777" w:rsidR="00FA2EC2" w:rsidRDefault="001F71A1">
      <w:pPr>
        <w:pStyle w:val="Heading1"/>
      </w:pPr>
      <w:r>
        <w:t>8. Legislative Note</w:t>
      </w:r>
    </w:p>
    <w:p w14:paraId="4B4740EC" w14:textId="28F2B0F5" w:rsidR="00FA2EC2" w:rsidRDefault="001F71A1">
      <w:r>
        <w:t xml:space="preserve">SB 26-144 resolved several questions previously raised by CCTPTA, including redemption by heirs, personal representatives, guardians, and conservators, and the maximum Intent to Redeem fee. That provision is expressly limited, however, to death or incapacity occurring on or after the recording of the application. CCTPTA should continue to support clarifying legislation on whether an agent may file an Intent to Redeem for a living owner, whether the seven-day filing deadline should be shortened or waivable, </w:t>
      </w:r>
      <w:r>
        <w:t>whether demonstrated readiness to redeem should be expressly recognized as good cause under § 39-11.5-111(1)(a), and whether § 39-11.5-106(1)(b) should be amended to state plainly that heirs and fiduciaries may redeem regardless of when the death or incapacity occurred.</w:t>
      </w:r>
    </w:p>
    <w:p w14:paraId="07928823" w14:textId="77777777" w:rsidR="00FA2EC2" w:rsidRDefault="001F71A1">
      <w:pPr>
        <w:pStyle w:val="Heading1"/>
      </w:pPr>
      <w:r>
        <w:t>Appendix. Source and Review Record</w:t>
      </w:r>
    </w:p>
    <w:p w14:paraId="1B7D577F" w14:textId="77777777" w:rsidR="00FA2EC2" w:rsidRDefault="001F71A1">
      <w:pPr>
        <w:pStyle w:val="ListBullet"/>
        <w:spacing w:after="40"/>
        <w:ind w:hanging="259"/>
      </w:pPr>
      <w:r>
        <w:t>Article 11.5 of Title 39 as repealed and reenacted by SB 26-144 (Ch. 135, 2026 Colo. Sess. Laws), signed May 19, 2026, effective June 1, 2026 — principally §§ 39-11.5-101, 39-11.5-106, 39-11.5-107, 39-11.5-108, and 39-11.5-111.</w:t>
      </w:r>
    </w:p>
    <w:p w14:paraId="32926021" w14:textId="77777777" w:rsidR="00FA2EC2" w:rsidRDefault="001F71A1">
      <w:pPr>
        <w:pStyle w:val="ListBullet"/>
        <w:spacing w:after="40"/>
        <w:ind w:hanging="259"/>
      </w:pPr>
      <w:r>
        <w:lastRenderedPageBreak/>
        <w:t>C.R.S. § 30-1-102(1.7) and (4), treasurer fees for administering Article 11.5 and biennial inflation adjustment, as added by SB 26-144.</w:t>
      </w:r>
    </w:p>
    <w:p w14:paraId="347EA649" w14:textId="77777777" w:rsidR="00FA2EC2" w:rsidRDefault="001F71A1">
      <w:pPr>
        <w:pStyle w:val="ListBullet"/>
        <w:spacing w:after="40"/>
        <w:ind w:hanging="259"/>
      </w:pPr>
      <w:r>
        <w:t>C.R.S. § 15-12-101 (devolution of estate at death) and C.R.S. § 39-11.5-101(19) (definition of property owner), supporting redemption by heirs and devisees where the owner died before the application was recorded.</w:t>
      </w:r>
    </w:p>
    <w:p w14:paraId="79BDFF41" w14:textId="77777777" w:rsidR="00FA2EC2" w:rsidRDefault="001F71A1">
      <w:pPr>
        <w:pStyle w:val="ListBullet"/>
        <w:spacing w:after="40"/>
        <w:ind w:hanging="259"/>
      </w:pPr>
      <w:r>
        <w:t>CCTPTA response to Brian McCulliss regarding Article 11.5 and SB 26-144, dated September 1, 2026.</w:t>
      </w:r>
    </w:p>
    <w:p w14:paraId="08F65E6C" w14:textId="77777777" w:rsidR="00FA2EC2" w:rsidRDefault="001F71A1">
      <w:r>
        <w:t>The fee amounts in § 30-1-102(1.7) adjust for inflation beginning January 1, 2027. CCTPTA should confirm current amounts at that time and at each annual review.</w:t>
      </w:r>
    </w:p>
    <w:sectPr w:rsidR="00FA2EC2">
      <w:headerReference w:type="even" r:id="rId12"/>
      <w:headerReference w:type="default" r:id="rId13"/>
      <w:footerReference w:type="even" r:id="rId14"/>
      <w:footerReference w:type="default" r:id="rId15"/>
      <w:headerReference w:type="first" r:id="rId16"/>
      <w:footerReference w:type="first" r:id="rId17"/>
      <w:pgSz w:w="12240" w:h="15840"/>
      <w:pgMar w:top="1152" w:right="1224" w:bottom="1152" w:left="1224" w:header="648" w:footer="648"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ne Iacovetto" w:date="2026-09-03T11:35:00Z" w:initials="LI">
    <w:p w14:paraId="7378BF0E" w14:textId="77777777" w:rsidR="00745611" w:rsidRDefault="00745611" w:rsidP="00745611">
      <w:pPr>
        <w:pStyle w:val="CommentText"/>
      </w:pPr>
      <w:r>
        <w:rPr>
          <w:rStyle w:val="CommentReference"/>
        </w:rPr>
        <w:annotationRef/>
      </w:r>
      <w:r>
        <w:rPr>
          <w:color w:val="000000"/>
        </w:rPr>
        <w:t>This states CCTPTA's position, not an express statutory rule. Section 39-11.5-106(1)(b) is by its terms limited to death or incapacity occurring on or after the recording of the application. The position that earlier deaths are also covered rests on C.R.S. 15-12-101 (title devolves to heirs and devisees at death) combined with the Section 39-11.5-101(19) definition of 'property owner' as a person that currently holds title, which makes the heirs owners entitled to redeem under subsection (1)(a) in their own right. Please have counsel confirm this reading before adoption.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8BF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6C7F28" w16cex:dateUtc="2026-09-03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8BF0E" w16cid:durableId="7B6C7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4B8B" w14:textId="77777777" w:rsidR="001F71A1" w:rsidRDefault="001F71A1">
      <w:pPr>
        <w:spacing w:after="0" w:line="240" w:lineRule="auto"/>
      </w:pPr>
      <w:r>
        <w:separator/>
      </w:r>
    </w:p>
  </w:endnote>
  <w:endnote w:type="continuationSeparator" w:id="0">
    <w:p w14:paraId="27C5D852" w14:textId="77777777" w:rsidR="001F71A1" w:rsidRDefault="001F7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D9B5" w14:textId="77777777" w:rsidR="00FA2EC2" w:rsidRDefault="00FA2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466D" w14:textId="77777777" w:rsidR="00FA2EC2" w:rsidRDefault="001F71A1">
    <w:pPr>
      <w:pStyle w:val="Footer"/>
      <w:jc w:val="center"/>
    </w:pPr>
    <w:r>
      <w:rPr>
        <w:color w:val="7F7F7F"/>
        <w:sz w:val="14"/>
      </w:rPr>
      <w:t>Adopted by CCTPTA | Policy 26-03 | Effective September 8,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FFAB" w14:textId="77777777" w:rsidR="00FA2EC2" w:rsidRDefault="001F71A1">
    <w:pPr>
      <w:pStyle w:val="Footer"/>
      <w:jc w:val="center"/>
    </w:pPr>
    <w:r>
      <w:rPr>
        <w:color w:val="7F7F7F"/>
        <w:sz w:val="14"/>
      </w:rPr>
      <w:t>Adopted by CCTPTA | Policy 26-03 | Effective September 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4C08" w14:textId="77777777" w:rsidR="001F71A1" w:rsidRDefault="001F71A1">
      <w:pPr>
        <w:spacing w:after="0" w:line="240" w:lineRule="auto"/>
      </w:pPr>
      <w:r>
        <w:separator/>
      </w:r>
    </w:p>
  </w:footnote>
  <w:footnote w:type="continuationSeparator" w:id="0">
    <w:p w14:paraId="6E4FC1C8" w14:textId="77777777" w:rsidR="001F71A1" w:rsidRDefault="001F7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9E8B" w14:textId="77777777" w:rsidR="00FA2EC2" w:rsidRDefault="00FA2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3611" w14:textId="77777777" w:rsidR="00FA2EC2" w:rsidRDefault="001F71A1">
    <w:pPr>
      <w:pStyle w:val="Header"/>
      <w:jc w:val="right"/>
    </w:pPr>
    <w:r>
      <w:rPr>
        <w:b/>
        <w:color w:val="595959"/>
        <w:sz w:val="14"/>
      </w:rPr>
      <w:t>CCTPTA | ADOPTED 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C134" w14:textId="77777777" w:rsidR="00FA2EC2" w:rsidRDefault="001F71A1">
    <w:pPr>
      <w:pStyle w:val="Header"/>
      <w:jc w:val="right"/>
    </w:pPr>
    <w:r>
      <w:rPr>
        <w:b/>
        <w:color w:val="595959"/>
        <w:sz w:val="14"/>
      </w:rPr>
      <w:t>CCTPTA | ADOPTED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22D"/>
    <w:multiLevelType w:val="multilevel"/>
    <w:tmpl w:val="F0349AB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31E77A3"/>
    <w:multiLevelType w:val="multilevel"/>
    <w:tmpl w:val="ED22D95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94C0372"/>
    <w:multiLevelType w:val="multilevel"/>
    <w:tmpl w:val="D76C0176"/>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EEA6A72"/>
    <w:multiLevelType w:val="multilevel"/>
    <w:tmpl w:val="D45EA5A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EE302F9"/>
    <w:multiLevelType w:val="multilevel"/>
    <w:tmpl w:val="72BE702E"/>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2094890"/>
    <w:multiLevelType w:val="multilevel"/>
    <w:tmpl w:val="02582A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D9E1EED"/>
    <w:multiLevelType w:val="multilevel"/>
    <w:tmpl w:val="32AE98E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41532458">
    <w:abstractNumId w:val="6"/>
  </w:num>
  <w:num w:numId="2" w16cid:durableId="1134248437">
    <w:abstractNumId w:val="2"/>
  </w:num>
  <w:num w:numId="3" w16cid:durableId="1414939028">
    <w:abstractNumId w:val="1"/>
  </w:num>
  <w:num w:numId="4" w16cid:durableId="929506270">
    <w:abstractNumId w:val="4"/>
  </w:num>
  <w:num w:numId="5" w16cid:durableId="1401440528">
    <w:abstractNumId w:val="0"/>
  </w:num>
  <w:num w:numId="6" w16cid:durableId="1744914493">
    <w:abstractNumId w:val="3"/>
  </w:num>
  <w:num w:numId="7" w16cid:durableId="171245759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ne Iacovetto">
    <w15:presenceInfo w15:providerId="AD" w15:userId="S::liacovetto@co.routt.co.us::ec892c4b-a926-41bb-b903-b73331d71b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EC2"/>
    <w:rsid w:val="001F71A1"/>
    <w:rsid w:val="00745611"/>
    <w:rsid w:val="009E5E23"/>
    <w:rsid w:val="00BA16FC"/>
    <w:rsid w:val="00D628F3"/>
    <w:rsid w:val="00D80EA6"/>
    <w:rsid w:val="00FA2EC2"/>
    <w:rsid w:val="00FF6B2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26BE"/>
  <w15:docId w15:val="{BCC673EE-7C63-4624-8934-7CC271B4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1F4E79"/>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CommentTextChar">
    <w:name w:val="Comment Text Char"/>
    <w:basedOn w:val="DefaultParagraphFont"/>
    <w:link w:val="CommentText"/>
    <w:uiPriority w:val="99"/>
    <w:qFormat/>
    <w:rPr>
      <w:rFonts w:ascii="Arial" w:hAnsi="Arial"/>
      <w:sz w:val="20"/>
      <w:szCs w:val="20"/>
    </w:rPr>
  </w:style>
  <w:style w:type="character" w:styleId="CommentReference">
    <w:name w:val="annotation reference"/>
    <w:basedOn w:val="DefaultParagraphFont"/>
    <w:uiPriority w:val="99"/>
    <w:semiHidden/>
    <w:unhideWhenUsed/>
    <w:qFormat/>
    <w:rPr>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styleId="CommentText">
    <w:name w:val="annotation text"/>
    <w:basedOn w:val="Normal"/>
    <w:link w:val="CommentTextChar"/>
    <w:uiPriority w:val="99"/>
    <w:unhideWhenUsed/>
    <w:pPr>
      <w:spacing w:line="240" w:lineRule="auto"/>
    </w:pPr>
    <w:rPr>
      <w:sz w:val="20"/>
      <w:szCs w:val="20"/>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Subject">
    <w:name w:val="annotation subject"/>
    <w:basedOn w:val="CommentText"/>
    <w:next w:val="CommentText"/>
    <w:link w:val="CommentSubjectChar"/>
    <w:uiPriority w:val="99"/>
    <w:semiHidden/>
    <w:unhideWhenUsed/>
    <w:rsid w:val="00745611"/>
    <w:rPr>
      <w:b/>
      <w:bCs/>
    </w:rPr>
  </w:style>
  <w:style w:type="character" w:customStyle="1" w:styleId="CommentSubjectChar">
    <w:name w:val="Comment Subject Char"/>
    <w:basedOn w:val="CommentTextChar"/>
    <w:link w:val="CommentSubject"/>
    <w:uiPriority w:val="99"/>
    <w:semiHidden/>
    <w:rsid w:val="00745611"/>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2358</Words>
  <Characters>12172</Characters>
  <Application>Microsoft Office Word</Application>
  <DocSecurity>0</DocSecurity>
  <Lines>166</Lines>
  <Paragraphs>70</Paragraphs>
  <ScaleCrop>false</ScaleCrop>
  <Company>Routt County</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CCTPTA Owner Redemption Before Public Auction - Best-Practice Policy and Procedure</dc:title>
  <dc:subject>Recommended statewide practice under C.R.S. § 39-11.5-106</dc:subject>
  <dc:creator>Colorado County Treasurers' and Public Trustees' Association</dc:creator>
  <dc:description>generated by python-docx</dc:description>
  <cp:lastModifiedBy>Lane Iacovetto</cp:lastModifiedBy>
  <cp:revision>2</cp:revision>
  <dcterms:created xsi:type="dcterms:W3CDTF">2026-09-15T18:21:00Z</dcterms:created>
  <dcterms:modified xsi:type="dcterms:W3CDTF">2026-09-15T18:21:00Z</dcterms:modified>
  <dc:language>en-US</dc:language>
</cp:coreProperties>
</file>